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5.7pt;margin-top:0;width:85.9pt;height:90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7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eachPage"/>
          </w:footnotePr>
          <w:type w:val="continuous"/>
          <w:pgSz w:w="11900" w:h="16840"/>
          <w:pgMar w:top="1229" w:left="1770" w:right="3794" w:bottom="208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45" w:left="0" w:right="0" w:bottom="21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47" w:line="240" w:lineRule="exact"/>
        <w:ind w:left="3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ГОСУДАРСТВЕННЫЙ СТАНДАРТ СОЮЗА ССР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СТАЛЬ КОВАНАЯ КРУГЛАЯ И КВАДРАТНАЯ</w:t>
      </w:r>
      <w:bookmarkEnd w:id="0"/>
    </w:p>
    <w:p>
      <w:pPr>
        <w:pStyle w:val="Style14"/>
        <w:widowControl w:val="0"/>
        <w:keepNext/>
        <w:keepLines/>
        <w:shd w:val="clear" w:color="auto" w:fill="auto"/>
        <w:bidi w:val="0"/>
        <w:jc w:val="center"/>
        <w:spacing w:before="0" w:after="735"/>
        <w:ind w:left="4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СОРТАМЕНТ</w:t>
        <w:br/>
        <w:t>ГОСТ 1133-71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91"/>
        <w:ind w:left="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ГОСУДАРСТВЕННЫЙ КОМИТЕТ СССР ПО</w:t>
        <w:br/>
        <w:t>СТАНДАРТАМ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523" w:line="240" w:lineRule="exact"/>
        <w:ind w:left="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Москва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40" w:right="0" w:firstLine="0"/>
      </w:pPr>
      <w:r>
        <w:rPr>
          <w:rStyle w:val="CharStyle17"/>
          <w:b/>
          <w:bCs/>
        </w:rPr>
        <w:t>ГОСУДАРСТВЕННЫЙ СТАНДАРТ СОЮЗА ССР</w:t>
      </w:r>
    </w:p>
    <w:p>
      <w:pPr>
        <w:pStyle w:val="Style14"/>
        <w:tabs>
          <w:tab w:leader="none" w:pos="482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80" w:lineRule="exact"/>
        <w:ind w:left="74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СТАЛЬ КОВАНАЯ</w:t>
        <w:tab/>
      </w:r>
      <w:r>
        <w:rPr>
          <w:rStyle w:val="CharStyle18"/>
          <w:b/>
          <w:bCs/>
        </w:rPr>
        <w:t>ГОСТ</w:t>
      </w:r>
      <w:bookmarkEnd w:id="2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05pt;margin-top:-15.5pt;width:186.5pt;height:107.05pt;z-index:-125829376;mso-wrap-distance-left:5.pt;mso-wrap-distance-right:7.45pt;mso-wrap-distance-bottom:67.3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КРУГЛАЯ И КВАДРАТНАЯ</w:t>
                    <w:br/>
                    <w:t>Сортамент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11"/>
                    </w:rPr>
                    <w:t>Forged round and square steel.</w:t>
                    <w:br/>
                    <w:t>Dimensions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1133-71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Взамен ГОСТ 1133</w:t>
      </w:r>
      <w:r>
        <w:rPr>
          <w:rStyle w:val="CharStyle19"/>
        </w:rPr>
        <w:t>-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41</w:t>
        <w:br/>
        <w:t>в части сортамента</w:t>
        <w:br/>
        <w:t>инструментальной</w:t>
        <w:br/>
        <w:t>кованой круглой и</w:t>
        <w:br/>
        <w:t>квадратной стали и</w:t>
        <w:br/>
        <w:t>ГОСТ 5650-51 в части</w:t>
        <w:br/>
        <w:t>сортамента</w:t>
        <w:br/>
        <w:t>инструментальной</w:t>
        <w:br/>
        <w:t>быстрорежущей</w:t>
        <w:br/>
        <w:t>кованой круглой и</w:t>
        <w:br/>
      </w:r>
      <w:r>
        <w:rPr>
          <w:rStyle w:val="CharStyle20"/>
        </w:rPr>
        <w:t xml:space="preserve">квадратной стали </w:t>
      </w:r>
      <w:r>
        <w:rPr>
          <w:rStyle w:val="CharStyle20"/>
          <w:vertAlign w:val="superscript"/>
        </w:rPr>
        <w:footnoteReference w:id="2"/>
      </w:r>
      <w:r>
        <w:rPr>
          <w:rStyle w:val="CharStyle20"/>
          <w:vertAlign w:val="superscript"/>
        </w:rPr>
        <w:t xml:space="preserve"> </w:t>
      </w:r>
      <w:r>
        <w:rPr>
          <w:rStyle w:val="CharStyle20"/>
          <w:vertAlign w:val="superscript"/>
        </w:rPr>
        <w:footnoteReference w:id="3"/>
      </w:r>
      <w:r>
        <w:rPr>
          <w:rStyle w:val="CharStyle20"/>
          <w:vertAlign w:val="superscript"/>
        </w:rPr>
        <w:t xml:space="preserve"> </w:t>
      </w:r>
      <w:r>
        <w:rPr>
          <w:rStyle w:val="CharStyle20"/>
          <w:vertAlign w:val="superscript"/>
        </w:rPr>
        <w:footnoteReference w:id="4"/>
      </w:r>
      <w:r>
        <w:br w:type="page"/>
      </w:r>
    </w:p>
    <w:tbl>
      <w:tblPr>
        <w:tblOverlap w:val="never"/>
        <w:tblLayout w:type="fixed"/>
        <w:jc w:val="left"/>
      </w:tblPr>
      <w:tblGrid>
        <w:gridCol w:w="1171"/>
        <w:gridCol w:w="1133"/>
        <w:gridCol w:w="1157"/>
        <w:gridCol w:w="878"/>
        <w:gridCol w:w="1162"/>
        <w:gridCol w:w="883"/>
      </w:tblGrid>
      <w:tr>
        <w:trPr>
          <w:trHeight w:val="9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Диаметр или сторона квадрата,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Предельно</w:t>
            </w:r>
          </w:p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е</w:t>
            </w:r>
          </w:p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отклонение,</w:t>
            </w:r>
          </w:p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Площадь поперечног о сечения, см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Масса 1 м, кг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Площадь поперечног о сечения, см</w:t>
            </w:r>
            <w:r>
              <w:rPr>
                <w:rStyle w:val="CharStyle21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21"/>
              </w:rPr>
              <w:t>Масса 1 м, кг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стали круглой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стали квадратной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12,57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9,86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12,56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13,85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10,88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17,64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13,85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15,90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12,48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15,90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18,10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14,20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23,04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18,09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19,64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15,42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19,62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21,24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16,67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27,04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21,23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23,76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18,65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23,75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26,42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20,74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33,64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26,41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28,27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22,19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28,26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31,17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24,47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39,69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31,16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33,18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26,05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42,25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33,17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36,32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28,51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46,24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36,30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38,48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30,21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38,46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41,85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32,85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53,29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41,83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44,18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34,68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56,25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44,16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47,78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37,51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60,84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47,76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50,27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39,46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50,24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83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54,11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42,48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68,89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54,08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56,74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44,54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72,25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56,72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63,62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49,94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81,00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63,58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95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70,88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55,64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90,25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70,85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78,54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61,65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78,50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86,59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67,97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110,25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86,55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95,03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74,60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121,00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94,98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103,87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81,54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132,25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103,82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113,10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88,78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144,00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113,04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122,72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96,33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156,25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122,66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132,73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104,20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169,00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132,66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143,14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112,36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182,25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143,07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153,94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120,84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196,00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153,86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165,13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129,25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210,25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165,05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176,72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138,72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225,00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176,62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188,69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148,10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240,25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188,60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201,06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157,83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256,00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200,96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213,82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167,85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272,25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213,72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226,98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178,18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289,00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226,86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240,53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188,80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306,25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240,41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254,47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199,76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324,00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254,34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268,80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211,01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342,25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268,67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+8,0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283,53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222,57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361,00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283,38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195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298,65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234,44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380,25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298,50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6384" w:h="11218" w:hSpace="6284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314,16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246,62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1"/>
              </w:rPr>
              <w:t>400,00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10"/>
              <w:framePr w:w="6384" w:h="11218" w:hSpace="6284" w:wrap="notBeside" w:vAnchor="text" w:hAnchor="text" w:y="3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1"/>
              </w:rPr>
              <w:t>314,00</w:t>
            </w:r>
          </w:p>
        </w:tc>
      </w:tr>
    </w:tbl>
    <w:p>
      <w:pPr>
        <w:pStyle w:val="Style22"/>
        <w:framePr w:w="1056" w:h="297" w:hSpace="1104" w:wrap="notBeside" w:vAnchor="text" w:hAnchor="text" w:x="5276" w:y="-1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1</w:t>
      </w:r>
    </w:p>
    <w:p>
      <w:pPr>
        <w:widowControl w:val="0"/>
        <w:rPr>
          <w:sz w:val="2"/>
          <w:szCs w:val="2"/>
        </w:rPr>
      </w:pP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71" w:after="0"/>
        <w:ind w:left="0" w:right="0"/>
      </w:pPr>
      <w:r>
        <w:pict>
          <v:shape id="_x0000_s1028" type="#_x0000_t75" style="position:absolute;margin-left:84.5pt;margin-top:-644.65pt;width:178.1pt;height:67.2pt;z-index:-125829375;mso-wrap-distance-left:84.5pt;mso-wrap-distance-right:56.65pt;mso-wrap-distance-bottom:8.4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Примечание. Площадь поперечного сечения и масса 1 м прутка вычислены по номинальному размеру, при этом плотность стали принята равной 7,85 г/см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3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8" w:line="240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Примеры условных обозначений стали: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08" w:line="240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круглой марки У10 диаметром 40 мм: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40 </w:t>
      </w:r>
      <w:r>
        <w:rPr>
          <w:rStyle w:val="CharStyle28"/>
        </w:rPr>
        <w:t>ГОСТ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1133 - 71</w:t>
      </w:r>
    </w:p>
    <w:p>
      <w:pPr>
        <w:pStyle w:val="Style29"/>
        <w:tabs>
          <w:tab w:leader="hyphen" w:pos="440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Круг</w:t>
      </w:r>
      <w:r>
        <w:rPr>
          <w:rStyle w:val="CharStyle31"/>
          <w:lang w:val="ru-RU" w:eastAsia="ru-RU" w:bidi="ru-RU"/>
          <w:i w:val="0"/>
          <w:iCs w:val="0"/>
        </w:rPr>
        <w:tab/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51"/>
        <w:ind w:left="2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У10 </w:t>
      </w:r>
      <w:r>
        <w:rPr>
          <w:rStyle w:val="CharStyle28"/>
        </w:rPr>
        <w:t>ГОСТ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1435 - 54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08" w:line="240" w:lineRule="exact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квадратной марки У12 со стороной квадрата 60 мм: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60 </w:t>
      </w:r>
      <w:r>
        <w:rPr>
          <w:rStyle w:val="CharStyle28"/>
        </w:rPr>
        <w:t>ГОСТ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1133 - 71</w:t>
      </w:r>
    </w:p>
    <w:p>
      <w:pPr>
        <w:pStyle w:val="Style29"/>
        <w:tabs>
          <w:tab w:leader="hyphen" w:pos="440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Квадрат</w:t>
      </w:r>
      <w:r>
        <w:rPr>
          <w:rStyle w:val="CharStyle31"/>
          <w:lang w:val="ru-RU" w:eastAsia="ru-RU" w:bidi="ru-RU"/>
          <w:i w:val="0"/>
          <w:iCs w:val="0"/>
        </w:rPr>
        <w:tab/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20"/>
        <w:ind w:left="2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У12 </w:t>
      </w:r>
      <w:r>
        <w:rPr>
          <w:rStyle w:val="CharStyle28"/>
        </w:rPr>
        <w:t>ГОСТ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1435 - 54</w:t>
      </w:r>
    </w:p>
    <w:p>
      <w:pPr>
        <w:pStyle w:val="Style10"/>
        <w:numPr>
          <w:ilvl w:val="0"/>
          <w:numId w:val="1"/>
        </w:numPr>
        <w:tabs>
          <w:tab w:leader="none" w:pos="6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Овальность (разность между наибольшим и наименьшим диаметрами в одном сечении) круглой стали и ромбичность (разность между диагоналями в одном сечении) квадратной стали не должны превышать 0,6 предельного отклонения по диаметру или стороне квадрата.</w:t>
      </w:r>
    </w:p>
    <w:p>
      <w:pPr>
        <w:pStyle w:val="Style10"/>
        <w:numPr>
          <w:ilvl w:val="0"/>
          <w:numId w:val="1"/>
        </w:numPr>
        <w:tabs>
          <w:tab w:leader="none" w:pos="6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Диаметр и овальность круглой стали, стороны и диагонали квадратной стали измеряются на расстоянии не менее 100 мм от конца.</w:t>
      </w:r>
    </w:p>
    <w:p>
      <w:pPr>
        <w:pStyle w:val="Style10"/>
        <w:numPr>
          <w:ilvl w:val="0"/>
          <w:numId w:val="1"/>
        </w:numPr>
        <w:tabs>
          <w:tab w:leader="none" w:pos="6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Прутки поставляются длиной не менее: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1,5 м — при диаметре круга или стороне квадрата до 50 мм;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1,0 м — при диаметре круга или стороне квадрата св. 50 до 75 мм;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0,75 м — при диаметре круга или стороне квадрата св. 75 мм.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поставка прутков длиной не менее 0,5 м в количестве не более 10% массы партии.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соглашению сторон прутки могут поставляться длиной менее 0,5 м.</w:t>
      </w:r>
    </w:p>
    <w:p>
      <w:pPr>
        <w:pStyle w:val="Style10"/>
        <w:numPr>
          <w:ilvl w:val="0"/>
          <w:numId w:val="1"/>
        </w:numPr>
        <w:tabs>
          <w:tab w:leader="none" w:pos="6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Предельные отклонения по длине прутков мерной длины и длины, кратной мерной, не должны превышать: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+70 мм — для прутков диаметром или со стороной квадрата от 40 до 80 мм;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+100 мм — для прутков диаметром или со стороной квадрата свыше 80 до 150 мм;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+150 мм — для прутков диаметром или со стороной квадрата свыше 150 мм.</w:t>
      </w:r>
    </w:p>
    <w:p>
      <w:pPr>
        <w:pStyle w:val="Style10"/>
        <w:numPr>
          <w:ilvl w:val="0"/>
          <w:numId w:val="1"/>
        </w:numPr>
        <w:tabs>
          <w:tab w:leader="none" w:pos="6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Квадратная сталь поставляется с острыми кромками. Допускается поставка квадратной стали с притупленными кромками; притупление не должно превышать 0,15 стороны квадрата.</w:t>
      </w:r>
    </w:p>
    <w:p>
      <w:pPr>
        <w:pStyle w:val="Style10"/>
        <w:numPr>
          <w:ilvl w:val="0"/>
          <w:numId w:val="1"/>
        </w:numPr>
        <w:tabs>
          <w:tab w:leader="none" w:pos="6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Кривизна прутка не должна превышать 0,5% длины.</w:t>
      </w:r>
    </w:p>
    <w:p>
      <w:pPr>
        <w:pStyle w:val="Style10"/>
        <w:numPr>
          <w:ilvl w:val="0"/>
          <w:numId w:val="1"/>
        </w:numPr>
        <w:tabs>
          <w:tab w:leader="none" w:pos="6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Видимое скручивание квадратной стали вокруг продольной оси не допускается.</w:t>
      </w:r>
    </w:p>
    <w:p>
      <w:pPr>
        <w:pStyle w:val="Style10"/>
        <w:numPr>
          <w:ilvl w:val="0"/>
          <w:numId w:val="1"/>
        </w:numPr>
        <w:tabs>
          <w:tab w:leader="none" w:pos="9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Марки стали и технические требования устанавливаются соответствующими стандартами.</w:t>
      </w:r>
    </w:p>
    <w:sectPr>
      <w:type w:val="continuous"/>
      <w:pgSz w:w="11900" w:h="16840"/>
      <w:pgMar w:top="1145" w:left="1746" w:right="3770" w:bottom="210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91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Постановлением Государственного комитета стандартов Совета Министров СССР от 4 июня 1971 г. № 1081 срок введения установлен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108" w:line="240" w:lineRule="exact"/>
        <w:ind w:left="0" w:right="0" w:firstLine="0"/>
      </w:pPr>
      <w:r>
        <w:rPr>
          <w:rStyle w:val="CharStyle5"/>
          <w:b/>
          <w:bCs/>
        </w:rPr>
        <w:t>с 01.01.1973 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Несоблюдение стандарта преследуется по закону</w:t>
      </w:r>
    </w:p>
  </w:footnote>
  <w:footnote w:id="3">
    <w:p>
      <w:pPr>
        <w:pStyle w:val="Style6"/>
        <w:tabs>
          <w:tab w:leader="none" w:pos="61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footnoteRef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Настоящий стандарт распространяется на кованую сталь круглого и квадратного сечения от 40 до 200 мм включительно.</w:t>
      </w:r>
    </w:p>
  </w:footnote>
  <w:footnote w:id="4">
    <w:p>
      <w:pPr>
        <w:pStyle w:val="Style6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footnoteRef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Размеры сечения стали и предельные отклонения по ним должны соответствовать указанным на чертеже и в таблице.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Footnote (2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Footnote (2)"/>
    <w:basedOn w:val="CharStyle4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Footnote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Body text (4) Exact"/>
    <w:basedOn w:val="DefaultParagraphFont"/>
    <w:link w:val="Style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Body text (2) Exact"/>
    <w:basedOn w:val="DefaultParagraphFont"/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Body text (3)_"/>
    <w:basedOn w:val="DefaultParagraphFont"/>
    <w:link w:val="Style1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Heading #1_"/>
    <w:basedOn w:val="DefaultParagraphFont"/>
    <w:link w:val="Style14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6">
    <w:name w:val="Body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Body text (3)"/>
    <w:basedOn w:val="CharStyle13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8">
    <w:name w:val="Heading #1 + 12 pt"/>
    <w:basedOn w:val="CharStyle15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9">
    <w:name w:val="Body text (2) + Bold"/>
    <w:basedOn w:val="CharStyle16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Body text (2)"/>
    <w:basedOn w:val="CharStyle16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Body text (2) + 9.5 pt,Bold"/>
    <w:basedOn w:val="CharStyle16"/>
    <w:rPr>
      <w:lang w:val="ru-RU" w:eastAsia="ru-RU" w:bidi="ru-RU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23">
    <w:name w:val="Table caption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Body text (5)_"/>
    <w:basedOn w:val="DefaultParagraphFont"/>
    <w:link w:val="Style24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7">
    <w:name w:val="Body text (6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8">
    <w:name w:val="Body text (6) + Italic"/>
    <w:basedOn w:val="CharStyle27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30">
    <w:name w:val="Body text (7)_"/>
    <w:basedOn w:val="DefaultParagraphFont"/>
    <w:link w:val="Style29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1">
    <w:name w:val="Body text (7) + Not Italic"/>
    <w:basedOn w:val="CharStyle30"/>
    <w:rPr>
      <w:lang w:val="1024"/>
      <w:i/>
      <w:iCs/>
      <w:w w:val="100"/>
      <w:spacing w:val="0"/>
      <w:color w:val="000000"/>
      <w:position w:val="0"/>
    </w:rPr>
  </w:style>
  <w:style w:type="paragraph" w:customStyle="1" w:styleId="Style3">
    <w:name w:val="Footnote (2)"/>
    <w:basedOn w:val="Normal"/>
    <w:link w:val="CharStyle4"/>
    <w:pPr>
      <w:widowControl w:val="0"/>
      <w:shd w:val="clear" w:color="auto" w:fill="FFFFFF"/>
      <w:jc w:val="both"/>
      <w:spacing w:after="60" w:line="27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Footnote"/>
    <w:basedOn w:val="Normal"/>
    <w:link w:val="CharStyle7"/>
    <w:pPr>
      <w:widowControl w:val="0"/>
      <w:shd w:val="clear" w:color="auto" w:fill="FFFFFF"/>
      <w:jc w:val="both"/>
      <w:spacing w:line="278" w:lineRule="exact"/>
      <w:ind w:firstLine="3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jc w:val="center"/>
      <w:spacing w:line="658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Body text (2)"/>
    <w:basedOn w:val="Normal"/>
    <w:link w:val="CharStyle16"/>
    <w:pPr>
      <w:widowControl w:val="0"/>
      <w:shd w:val="clear" w:color="auto" w:fill="FFFFFF"/>
      <w:jc w:val="center"/>
      <w:spacing w:before="600" w:after="60" w:line="278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Body text (3)"/>
    <w:basedOn w:val="Normal"/>
    <w:link w:val="CharStyle13"/>
    <w:pPr>
      <w:widowControl w:val="0"/>
      <w:shd w:val="clear" w:color="auto" w:fill="FFFFFF"/>
      <w:spacing w:after="3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Heading #1"/>
    <w:basedOn w:val="Normal"/>
    <w:link w:val="CharStyle15"/>
    <w:pPr>
      <w:widowControl w:val="0"/>
      <w:shd w:val="clear" w:color="auto" w:fill="FFFFFF"/>
      <w:outlineLvl w:val="0"/>
      <w:spacing w:before="360" w:line="4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2">
    <w:name w:val="Table caption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4">
    <w:name w:val="Body text (5)"/>
    <w:basedOn w:val="Normal"/>
    <w:link w:val="CharStyle25"/>
    <w:pPr>
      <w:widowControl w:val="0"/>
      <w:shd w:val="clear" w:color="auto" w:fill="FFFFFF"/>
      <w:jc w:val="both"/>
      <w:spacing w:before="120" w:line="235" w:lineRule="exact"/>
      <w:ind w:firstLine="340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6">
    <w:name w:val="Body text (6)"/>
    <w:basedOn w:val="Normal"/>
    <w:link w:val="CharStyle27"/>
    <w:pPr>
      <w:widowControl w:val="0"/>
      <w:shd w:val="clear" w:color="auto" w:fill="FFFFFF"/>
      <w:spacing w:before="240" w:line="154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9">
    <w:name w:val="Body text (7)"/>
    <w:basedOn w:val="Normal"/>
    <w:link w:val="CharStyle30"/>
    <w:pPr>
      <w:widowControl w:val="0"/>
      <w:shd w:val="clear" w:color="auto" w:fill="FFFFFF"/>
      <w:jc w:val="both"/>
      <w:spacing w:line="154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GOST_1133-71.doc</dc:title>
  <dc:subject/>
  <dc:creator>Oreanor</dc:creator>
  <cp:keywords/>
</cp:coreProperties>
</file>